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66A" w:rsidRPr="0048166A" w:rsidRDefault="0048166A" w:rsidP="0048166A">
      <w:pPr>
        <w:pStyle w:val="af8"/>
        <w:shd w:val="clear" w:color="auto" w:fill="FFFFFF"/>
        <w:spacing w:before="0" w:beforeAutospacing="0" w:after="0" w:afterAutospacing="0" w:line="240" w:lineRule="exact"/>
        <w:rPr>
          <w:rFonts w:ascii="微软雅黑" w:eastAsia="微软雅黑" w:hAnsi="微软雅黑"/>
          <w:color w:val="333333"/>
          <w:sz w:val="20"/>
          <w:szCs w:val="20"/>
        </w:rPr>
      </w:pPr>
      <w:r w:rsidRPr="0048166A">
        <w:rPr>
          <w:rStyle w:val="af9"/>
          <w:rFonts w:ascii="微软雅黑" w:eastAsia="微软雅黑" w:hAnsi="微软雅黑" w:hint="eastAsia"/>
          <w:b w:val="0"/>
          <w:bCs w:val="0"/>
          <w:color w:val="393939"/>
          <w:sz w:val="20"/>
          <w:szCs w:val="20"/>
          <w:shd w:val="clear" w:color="auto" w:fill="FFFFFF"/>
        </w:rPr>
        <w:t>新华网北京3月30日电　中央政法委近日印发《司法机关内部人员过问案件的记录和责任追究规定》，规定全文如下：</w:t>
      </w:r>
    </w:p>
    <w:p w:rsidR="0048166A" w:rsidRPr="0048166A" w:rsidRDefault="0048166A" w:rsidP="0048166A">
      <w:pPr>
        <w:pStyle w:val="af8"/>
        <w:shd w:val="clear" w:color="auto" w:fill="FFFFFF"/>
        <w:spacing w:before="0" w:beforeAutospacing="0" w:after="0" w:afterAutospacing="0" w:line="240" w:lineRule="exact"/>
        <w:rPr>
          <w:rFonts w:ascii="微软雅黑" w:eastAsia="微软雅黑" w:hAnsi="微软雅黑"/>
          <w:color w:val="333333"/>
        </w:rPr>
      </w:pPr>
      <w:r w:rsidRPr="0048166A">
        <w:rPr>
          <w:rFonts w:ascii="微软雅黑" w:eastAsia="微软雅黑" w:hAnsi="微软雅黑" w:hint="eastAsia"/>
          <w:color w:val="333333"/>
        </w:rPr>
        <w:t xml:space="preserve">　　……</w:t>
      </w:r>
    </w:p>
    <w:p w:rsidR="0048166A" w:rsidRPr="00FC3901" w:rsidRDefault="0048166A" w:rsidP="001D2425">
      <w:pPr>
        <w:pStyle w:val="af8"/>
        <w:shd w:val="clear" w:color="auto" w:fill="FFFFFF"/>
        <w:spacing w:before="0" w:beforeAutospacing="0" w:after="0" w:afterAutospacing="0" w:line="400" w:lineRule="exact"/>
        <w:jc w:val="center"/>
        <w:rPr>
          <w:rFonts w:ascii="微软雅黑" w:eastAsia="微软雅黑" w:hAnsi="微软雅黑"/>
          <w:b/>
          <w:color w:val="002060"/>
          <w:sz w:val="32"/>
          <w:szCs w:val="32"/>
        </w:rPr>
      </w:pPr>
      <w:r w:rsidRPr="00FC3901">
        <w:rPr>
          <w:rFonts w:ascii="微软雅黑" w:eastAsia="微软雅黑" w:hAnsi="微软雅黑" w:hint="eastAsia"/>
          <w:b/>
          <w:color w:val="002060"/>
          <w:sz w:val="32"/>
          <w:szCs w:val="32"/>
        </w:rPr>
        <w:t>《司法机关内部人员过问案件的记录和责任追究规定》</w:t>
      </w:r>
    </w:p>
    <w:p w:rsidR="0048166A" w:rsidRPr="0048166A" w:rsidRDefault="0048166A" w:rsidP="0048166A">
      <w:pPr>
        <w:pStyle w:val="af8"/>
        <w:shd w:val="clear" w:color="auto" w:fill="FFFFFF"/>
        <w:spacing w:before="0" w:beforeAutospacing="0" w:after="0" w:afterAutospacing="0" w:line="280" w:lineRule="exact"/>
        <w:jc w:val="center"/>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第一条</w:t>
      </w:r>
      <w:r w:rsidRPr="0048166A">
        <w:rPr>
          <w:rFonts w:ascii="微软雅黑" w:eastAsia="微软雅黑" w:hAnsi="微软雅黑" w:hint="eastAsia"/>
          <w:color w:val="333333"/>
          <w:sz w:val="22"/>
          <w:szCs w:val="22"/>
        </w:rPr>
        <w:t xml:space="preserve">　为贯彻落实《中共中央关于全面推进依法治国若干重大问题的决定》有关要求，防止司法机关内部人员干预办案，确保公正廉洁司法，根据宪法法律规定，结合司法工作实际，制定本规定。</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第二条</w:t>
      </w:r>
      <w:r w:rsidRPr="0048166A">
        <w:rPr>
          <w:rFonts w:ascii="微软雅黑" w:eastAsia="微软雅黑" w:hAnsi="微软雅黑" w:hint="eastAsia"/>
          <w:color w:val="333333"/>
          <w:sz w:val="22"/>
          <w:szCs w:val="22"/>
        </w:rPr>
        <w:t xml:space="preserve">　司法机关内部人员应当依法履行职责，严格遵守纪律，不得违反规定过问和干预其他人员正在办理的案件，不得违反规定为案件当事人转递涉案材料或者打探案情，不得以任何方式为案件当事人说情打招呼。</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第三条</w:t>
      </w:r>
      <w:r w:rsidRPr="0048166A">
        <w:rPr>
          <w:rFonts w:ascii="微软雅黑" w:eastAsia="微软雅黑" w:hAnsi="微软雅黑" w:hint="eastAsia"/>
          <w:color w:val="333333"/>
          <w:sz w:val="22"/>
          <w:szCs w:val="22"/>
        </w:rPr>
        <w:t xml:space="preserve">　司法机关办案人员应当恪守法律，公正司法，不徇私情。对于司法机关内部人员的干预、说情或者打探案情，应当予以拒绝；对于不依正当程序转递涉案材料或者提出其他要求的，应当告知其依照程序办理。</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第四条</w:t>
      </w:r>
      <w:r w:rsidRPr="0048166A">
        <w:rPr>
          <w:rFonts w:ascii="微软雅黑" w:eastAsia="微软雅黑" w:hAnsi="微软雅黑" w:hint="eastAsia"/>
          <w:color w:val="333333"/>
          <w:sz w:val="22"/>
          <w:szCs w:val="22"/>
        </w:rPr>
        <w:t xml:space="preserve">　司法机关领导干部和上级司法机关工作人员因履行领导、监督职责，需要对正在办理的案件提出指导性意见的，应当依照程序以书面形式提出，口头提出的，由办案人员记录在案。</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第五条</w:t>
      </w:r>
      <w:r w:rsidRPr="0048166A">
        <w:rPr>
          <w:rFonts w:ascii="微软雅黑" w:eastAsia="微软雅黑" w:hAnsi="微软雅黑" w:hint="eastAsia"/>
          <w:color w:val="333333"/>
          <w:sz w:val="22"/>
          <w:szCs w:val="22"/>
        </w:rPr>
        <w:t xml:space="preserve">　其他司法机关的工作人员因履行法定职责需要，向办案人员了解正在办理的案件有关情况的，应当依照法律程序或者工作程序进行。</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第六条</w:t>
      </w:r>
      <w:r w:rsidRPr="0048166A">
        <w:rPr>
          <w:rFonts w:ascii="微软雅黑" w:eastAsia="微软雅黑" w:hAnsi="微软雅黑" w:hint="eastAsia"/>
          <w:color w:val="333333"/>
          <w:sz w:val="22"/>
          <w:szCs w:val="22"/>
        </w:rPr>
        <w:t xml:space="preserve">　对司法机关内部人员过问案件的情况，办案人员应当全面、如实记录，做到全程留痕，有据可查。</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第七条</w:t>
      </w:r>
      <w:r w:rsidRPr="0048166A">
        <w:rPr>
          <w:rFonts w:ascii="微软雅黑" w:eastAsia="微软雅黑" w:hAnsi="微软雅黑" w:hint="eastAsia"/>
          <w:color w:val="333333"/>
          <w:sz w:val="22"/>
          <w:szCs w:val="22"/>
        </w:rPr>
        <w:t xml:space="preserve">　办案人员如实记录司法机关内部人员过问案件的情况，受法律和组织保护。</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司法机关内部人员不得对办案人员打击报复。办案人员非因法定事由，非经法定程序，不得被免职、调离、辞退或者给予降级、撤职、开除等处分。</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第八条</w:t>
      </w:r>
      <w:r w:rsidRPr="0048166A">
        <w:rPr>
          <w:rFonts w:ascii="微软雅黑" w:eastAsia="微软雅黑" w:hAnsi="微软雅黑" w:hint="eastAsia"/>
          <w:color w:val="333333"/>
          <w:sz w:val="22"/>
          <w:szCs w:val="22"/>
        </w:rPr>
        <w:t xml:space="preserve">　司法机关纪检监察部门应当及时汇总分析司法机关内部人员过问案件的情况，并依照以下方式对司法机关内部人员违反规定干预办案的线索进行处置：</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(一)机关内部人员违反规定干预办案的，由本机关纪检监察部门调查处理；</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(二)本机关领导干部违反规定干预办案的，向负有干部管理权限的机关纪检监察部门报告情况；</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(三)上级司法人员违反规定干预下级司法机关办案的，向干预人员所在司法机关纪捡监察部门报告情况；</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(四)其他没有隶属关系的司法机关人员违反规定干预办案的，向干预人员所在司法机关纪检监察部门通报情况。</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干预人员所在司法机关纪检监察部门接到报告或者通报后，应当及时调查处理，并将结果通报办案单位所属司法机关纪检监察部门。</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第九条</w:t>
      </w:r>
      <w:r w:rsidRPr="0048166A">
        <w:rPr>
          <w:rFonts w:ascii="微软雅黑" w:eastAsia="微软雅黑" w:hAnsi="微软雅黑" w:hint="eastAsia"/>
          <w:color w:val="333333"/>
          <w:sz w:val="22"/>
          <w:szCs w:val="22"/>
        </w:rPr>
        <w:t xml:space="preserve">　司法机关内部人员有下列行为之一的，属于违反规定干预办案，负有干部管理权限的司法机关按程序报经批准后予以通报，必要时可以向社会公开：</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(一)在线索核查、立案、侦查、审查起诉、审判、执行等环节为案件当事人请托说情的；</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(二)邀请办案人员私下会见案件当事人或其辩护入、诉讼代理人、近亲属以及其他与案件有利害关系的人的；</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(三)违反规定为案件当事人或其辩护人、诉讼代理人、亲属转递涉案材料的；</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(四)违反规定为案件当事人或其辩护人、诉讼代理人、亲属打探案情、通风报信的；</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(五)其他影响司法人员依法公正处理案件的行为。</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第十条</w:t>
      </w:r>
      <w:r w:rsidRPr="0048166A">
        <w:rPr>
          <w:rFonts w:ascii="微软雅黑" w:eastAsia="微软雅黑" w:hAnsi="微软雅黑" w:hint="eastAsia"/>
          <w:color w:val="333333"/>
          <w:sz w:val="22"/>
          <w:szCs w:val="22"/>
        </w:rPr>
        <w:t xml:space="preserve">　司法机关内部人员有本规定第九条所列行为之一，构成违纪的，依照《中国共产党纪律处分条例》、《行政机关公务员处分条例》、《人民法院工作人员处分条例》、《检察人员纪律处分条例(试行)》、《公安机关人民警察纪律条令》等规定给予纪律处分；构成犯罪的，依法追究刑事责任。</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司法机关内部人员对如实记录过问案件情况的办案人员进行打击报复的，依照《中国共产党纪律处分条例》、《行政机关公务员处分条例》、《人民法院工作人员处分条例》、《检察人员纪律处分条例(试行)》、《公安机关人民警察纪律条令》等规定给予纪律处分；构成犯罪的，依法追究刑事责任。</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第十一条</w:t>
      </w:r>
      <w:r w:rsidRPr="0048166A">
        <w:rPr>
          <w:rFonts w:ascii="微软雅黑" w:eastAsia="微软雅黑" w:hAnsi="微软雅黑" w:hint="eastAsia"/>
          <w:color w:val="333333"/>
          <w:sz w:val="22"/>
          <w:szCs w:val="22"/>
        </w:rPr>
        <w:t xml:space="preserve">　办案人员不记录或者不如实记录司法机关内部人员过问案件情况的，予以警告、通报批评；两次以上不记录或者不如实记录的，依照《中国共产党纪律处分条例》、《行政机关公务员处分条例》、《人民法院工作人员处分条例》、《检察人员纪律处分条例(试行)》、《公安机关人民警察纪律条令》等规定给予纪律处分。主管领导授意不记录或者不如实记录的，依法依纪追究主管领导责任。</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第十二条</w:t>
      </w:r>
      <w:r w:rsidRPr="0048166A">
        <w:rPr>
          <w:rFonts w:ascii="微软雅黑" w:eastAsia="微软雅黑" w:hAnsi="微软雅黑" w:hint="eastAsia"/>
          <w:color w:val="333333"/>
          <w:sz w:val="22"/>
          <w:szCs w:val="22"/>
        </w:rPr>
        <w:t xml:space="preserve">　司法机关内部人员违反规定过问和干预办案的情况和办案人员记录司法机关内部人员过问案件的情况，应当纳入党风廉政建设责任制和政绩考核体系，作为考核干部是否遵守法律、依法办事、廉洁自律的重要依据。</w:t>
      </w:r>
      <w:r w:rsidRPr="0048166A">
        <w:rPr>
          <w:rFonts w:ascii="微软雅黑" w:eastAsia="微软雅黑" w:hAnsi="微软雅黑" w:hint="eastAsia"/>
          <w:color w:val="333333"/>
          <w:sz w:val="22"/>
          <w:szCs w:val="22"/>
        </w:rPr>
        <w:t> </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第十三条</w:t>
      </w:r>
      <w:r w:rsidRPr="0048166A">
        <w:rPr>
          <w:rFonts w:ascii="微软雅黑" w:eastAsia="微软雅黑" w:hAnsi="微软雅黑" w:hint="eastAsia"/>
          <w:color w:val="333333"/>
          <w:sz w:val="22"/>
          <w:szCs w:val="22"/>
        </w:rPr>
        <w:t xml:space="preserve">　本规定所称司法机关内部人员，是指在法院、检察院、公安机关、国家安全机关、司法行政机关工作的人员。</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司法机关离退休人员违反规定干预办案的，适用本规定。</w:t>
      </w:r>
    </w:p>
    <w:p w:rsidR="0048166A"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第十四条</w:t>
      </w:r>
      <w:r w:rsidRPr="0048166A">
        <w:rPr>
          <w:rFonts w:ascii="微软雅黑" w:eastAsia="微软雅黑" w:hAnsi="微软雅黑" w:hint="eastAsia"/>
          <w:color w:val="333333"/>
          <w:sz w:val="22"/>
          <w:szCs w:val="22"/>
        </w:rPr>
        <w:t xml:space="preserve">　最高人民法院、最高人民检察院、公安部、国家安全部、司法部应当结合工作实际，制定本规定的实施办法，确保有关规定落到实处。</w:t>
      </w:r>
    </w:p>
    <w:p w:rsidR="007847E3" w:rsidRPr="0048166A" w:rsidRDefault="0048166A" w:rsidP="0048166A">
      <w:pPr>
        <w:pStyle w:val="af8"/>
        <w:shd w:val="clear" w:color="auto" w:fill="FFFFFF"/>
        <w:spacing w:before="0" w:beforeAutospacing="0" w:after="0" w:afterAutospacing="0" w:line="280" w:lineRule="exact"/>
        <w:rPr>
          <w:rFonts w:ascii="微软雅黑" w:eastAsia="微软雅黑" w:hAnsi="微软雅黑"/>
          <w:color w:val="333333"/>
          <w:sz w:val="22"/>
          <w:szCs w:val="22"/>
        </w:rPr>
      </w:pPr>
      <w:r w:rsidRPr="0048166A">
        <w:rPr>
          <w:rFonts w:ascii="微软雅黑" w:eastAsia="微软雅黑" w:hAnsi="微软雅黑" w:hint="eastAsia"/>
          <w:color w:val="333333"/>
          <w:sz w:val="22"/>
          <w:szCs w:val="22"/>
        </w:rPr>
        <w:t xml:space="preserve">　　</w:t>
      </w:r>
      <w:r w:rsidRPr="001D2425">
        <w:rPr>
          <w:rFonts w:ascii="微软雅黑" w:eastAsia="微软雅黑" w:hAnsi="微软雅黑" w:hint="eastAsia"/>
          <w:b/>
          <w:color w:val="C00000"/>
          <w:sz w:val="22"/>
          <w:szCs w:val="22"/>
        </w:rPr>
        <w:t>第十五条</w:t>
      </w:r>
      <w:r w:rsidRPr="0048166A">
        <w:rPr>
          <w:rFonts w:ascii="微软雅黑" w:eastAsia="微软雅黑" w:hAnsi="微软雅黑" w:hint="eastAsia"/>
          <w:color w:val="333333"/>
          <w:sz w:val="22"/>
          <w:szCs w:val="22"/>
        </w:rPr>
        <w:t xml:space="preserve">　本规定自下发之日起施行。</w:t>
      </w:r>
    </w:p>
    <w:sectPr w:rsidR="007847E3" w:rsidRPr="0048166A" w:rsidSect="001F5F62">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B05" w:rsidRDefault="00B70B05" w:rsidP="007847E3">
      <w:r>
        <w:separator/>
      </w:r>
    </w:p>
  </w:endnote>
  <w:endnote w:type="continuationSeparator" w:id="0">
    <w:p w:rsidR="00B70B05" w:rsidRDefault="00B70B05" w:rsidP="007847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E3" w:rsidRDefault="00870797">
    <w:pPr>
      <w:tabs>
        <w:tab w:val="center" w:pos="4153"/>
        <w:tab w:val="right" w:pos="8306"/>
      </w:tabs>
      <w:rPr>
        <w:rFonts w:ascii="宋体" w:hAnsi="宋体" w:cs="宋体"/>
        <w:sz w:val="28"/>
        <w:szCs w:val="28"/>
      </w:rPr>
    </w:pPr>
    <w:r w:rsidRPr="00870797">
      <w:rPr>
        <w:sz w:val="28"/>
      </w:rPr>
      <w:pict>
        <v:shapetype id="_x0000_t202" coordsize="21600,21600" o:spt="202" path="m,l,21600r21600,l21600,xe">
          <v:stroke joinstyle="miter"/>
          <v:path gradientshapeok="t" o:connecttype="rect"/>
        </v:shapetype>
        <v:shape id="_x0000_s3073" type="#_x0000_t202" style="position:absolute;left:0;text-align:left;margin-left:31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847E3" w:rsidRDefault="008918F5">
                <w:pPr>
                  <w:pStyle w:val="a3"/>
                  <w:ind w:leftChars="100" w:left="210"/>
                  <w:jc w:val="both"/>
                  <w:rPr>
                    <w:rFonts w:ascii="宋体" w:hAnsi="宋体" w:cs="宋体"/>
                    <w:sz w:val="28"/>
                    <w:szCs w:val="28"/>
                  </w:rPr>
                </w:pPr>
                <w:r>
                  <w:rPr>
                    <w:rFonts w:ascii="宋体" w:hAnsi="宋体" w:cs="宋体" w:hint="eastAsia"/>
                    <w:sz w:val="28"/>
                    <w:szCs w:val="28"/>
                  </w:rPr>
                  <w:t xml:space="preserve">－ </w:t>
                </w:r>
                <w:r w:rsidR="0087079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70797">
                  <w:rPr>
                    <w:rFonts w:ascii="宋体" w:hAnsi="宋体" w:cs="宋体" w:hint="eastAsia"/>
                    <w:sz w:val="28"/>
                    <w:szCs w:val="28"/>
                  </w:rPr>
                  <w:fldChar w:fldCharType="separate"/>
                </w:r>
                <w:r w:rsidR="0048166A">
                  <w:rPr>
                    <w:rFonts w:ascii="宋体" w:hAnsi="宋体" w:cs="宋体"/>
                    <w:noProof/>
                    <w:sz w:val="28"/>
                    <w:szCs w:val="28"/>
                  </w:rPr>
                  <w:t>2</w:t>
                </w:r>
                <w:r w:rsidR="0087079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7E3" w:rsidRDefault="00870797">
    <w:pPr>
      <w:tabs>
        <w:tab w:val="center" w:pos="4153"/>
        <w:tab w:val="right" w:pos="8306"/>
      </w:tabs>
      <w:rPr>
        <w:rFonts w:ascii="宋体" w:hAnsi="宋体" w:cs="宋体"/>
        <w:sz w:val="28"/>
        <w:szCs w:val="28"/>
      </w:rPr>
    </w:pPr>
    <w:r w:rsidRPr="00870797">
      <w:rPr>
        <w:sz w:val="28"/>
      </w:rPr>
      <w:pict>
        <v:shapetype id="_x0000_t202" coordsize="21600,21600" o:spt="202" path="m,l,21600r21600,l21600,xe">
          <v:stroke joinstyle="miter"/>
          <v:path gradientshapeok="t" o:connecttype="rect"/>
        </v:shapetype>
        <v:shape id="_x0000_s1026" type="#_x0000_t202" style="position:absolute;left:0;text-align:left;margin-left:312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7847E3" w:rsidRDefault="008918F5">
                <w:pPr>
                  <w:pStyle w:val="a3"/>
                  <w:ind w:rightChars="100" w:right="210"/>
                  <w:jc w:val="both"/>
                  <w:rPr>
                    <w:rFonts w:ascii="宋体" w:hAnsi="宋体" w:cs="宋体"/>
                    <w:sz w:val="28"/>
                    <w:szCs w:val="28"/>
                  </w:rPr>
                </w:pPr>
                <w:r>
                  <w:rPr>
                    <w:rFonts w:ascii="宋体" w:hAnsi="宋体" w:cs="宋体" w:hint="eastAsia"/>
                    <w:sz w:val="28"/>
                    <w:szCs w:val="28"/>
                  </w:rPr>
                  <w:t xml:space="preserve">－ </w:t>
                </w:r>
                <w:r w:rsidR="0087079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70797">
                  <w:rPr>
                    <w:rFonts w:ascii="宋体" w:hAnsi="宋体" w:cs="宋体" w:hint="eastAsia"/>
                    <w:sz w:val="28"/>
                    <w:szCs w:val="28"/>
                  </w:rPr>
                  <w:fldChar w:fldCharType="separate"/>
                </w:r>
                <w:r w:rsidR="00FC3901">
                  <w:rPr>
                    <w:rFonts w:ascii="宋体" w:hAnsi="宋体" w:cs="宋体"/>
                    <w:noProof/>
                    <w:sz w:val="28"/>
                    <w:szCs w:val="28"/>
                  </w:rPr>
                  <w:t>1</w:t>
                </w:r>
                <w:r w:rsidR="0087079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B05" w:rsidRDefault="00B70B05" w:rsidP="007847E3">
      <w:r>
        <w:separator/>
      </w:r>
    </w:p>
  </w:footnote>
  <w:footnote w:type="continuationSeparator" w:id="0">
    <w:p w:rsidR="00B70B05" w:rsidRDefault="00B70B05" w:rsidP="007847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4175"/>
    <w:rsid w:val="000D0BFC"/>
    <w:rsid w:val="001D2425"/>
    <w:rsid w:val="001F5F62"/>
    <w:rsid w:val="00323D76"/>
    <w:rsid w:val="0048166A"/>
    <w:rsid w:val="007847E3"/>
    <w:rsid w:val="00870797"/>
    <w:rsid w:val="008918F5"/>
    <w:rsid w:val="00924175"/>
    <w:rsid w:val="00B70B05"/>
    <w:rsid w:val="00FC3901"/>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5BE77280"/>
    <w:rsid w:val="65586BE5"/>
    <w:rsid w:val="6D5779E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47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847E3"/>
    <w:pPr>
      <w:tabs>
        <w:tab w:val="center" w:pos="4153"/>
        <w:tab w:val="right" w:pos="8306"/>
      </w:tabs>
      <w:snapToGrid w:val="0"/>
      <w:jc w:val="left"/>
    </w:pPr>
    <w:rPr>
      <w:sz w:val="18"/>
    </w:rPr>
  </w:style>
  <w:style w:type="paragraph" w:styleId="a4">
    <w:name w:val="header"/>
    <w:basedOn w:val="a"/>
    <w:qFormat/>
    <w:rsid w:val="007847E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7847E3"/>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7847E3"/>
    <w:pPr>
      <w:spacing w:line="560" w:lineRule="exact"/>
      <w:jc w:val="center"/>
    </w:pPr>
    <w:rPr>
      <w:rFonts w:ascii="宋体" w:hAnsi="宋体" w:cs="宋体" w:hint="eastAsia"/>
      <w:sz w:val="44"/>
      <w:szCs w:val="44"/>
    </w:rPr>
  </w:style>
  <w:style w:type="paragraph" w:customStyle="1" w:styleId="a7">
    <w:name w:val="表字居中"/>
    <w:basedOn w:val="a"/>
    <w:rsid w:val="007847E3"/>
    <w:pPr>
      <w:spacing w:line="560" w:lineRule="exact"/>
      <w:jc w:val="center"/>
    </w:pPr>
    <w:rPr>
      <w:rFonts w:ascii="宋体" w:hAnsi="宋体" w:cs="宋体"/>
      <w:szCs w:val="21"/>
    </w:rPr>
  </w:style>
  <w:style w:type="paragraph" w:customStyle="1" w:styleId="a8">
    <w:name w:val="一、"/>
    <w:basedOn w:val="a"/>
    <w:qFormat/>
    <w:rsid w:val="007847E3"/>
    <w:pPr>
      <w:spacing w:line="560" w:lineRule="exact"/>
      <w:ind w:firstLineChars="200" w:firstLine="420"/>
    </w:pPr>
    <w:rPr>
      <w:rFonts w:ascii="黑体" w:eastAsia="黑体" w:hAnsi="黑体" w:cs="黑体"/>
      <w:sz w:val="32"/>
      <w:szCs w:val="32"/>
    </w:rPr>
  </w:style>
  <w:style w:type="paragraph" w:customStyle="1" w:styleId="a9">
    <w:name w:val="落款"/>
    <w:basedOn w:val="a"/>
    <w:rsid w:val="007847E3"/>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7847E3"/>
    <w:pPr>
      <w:spacing w:line="560" w:lineRule="exact"/>
      <w:jc w:val="left"/>
    </w:pPr>
    <w:rPr>
      <w:rFonts w:ascii="黑体" w:eastAsia="黑体" w:hAnsi="黑体" w:cs="黑体"/>
      <w:sz w:val="32"/>
      <w:szCs w:val="32"/>
    </w:rPr>
  </w:style>
  <w:style w:type="paragraph" w:customStyle="1" w:styleId="ab">
    <w:name w:val="正文字体"/>
    <w:basedOn w:val="a"/>
    <w:qFormat/>
    <w:rsid w:val="007847E3"/>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7847E3"/>
    <w:pPr>
      <w:spacing w:line="560" w:lineRule="exact"/>
      <w:jc w:val="center"/>
    </w:pPr>
    <w:rPr>
      <w:rFonts w:ascii="黑体" w:eastAsia="黑体" w:hAnsi="黑体" w:cs="黑体"/>
      <w:sz w:val="32"/>
      <w:szCs w:val="32"/>
    </w:rPr>
  </w:style>
  <w:style w:type="paragraph" w:customStyle="1" w:styleId="ad">
    <w:name w:val="（一）"/>
    <w:basedOn w:val="a"/>
    <w:qFormat/>
    <w:rsid w:val="007847E3"/>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7847E3"/>
    <w:pPr>
      <w:spacing w:line="560" w:lineRule="exact"/>
      <w:jc w:val="left"/>
    </w:pPr>
    <w:rPr>
      <w:rFonts w:ascii="宋体" w:hAnsi="宋体" w:cs="宋体"/>
      <w:szCs w:val="21"/>
    </w:rPr>
  </w:style>
  <w:style w:type="paragraph" w:customStyle="1" w:styleId="af">
    <w:name w:val="修改废止公布内容"/>
    <w:basedOn w:val="a"/>
    <w:qFormat/>
    <w:rsid w:val="007847E3"/>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7847E3"/>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7847E3"/>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7847E3"/>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7847E3"/>
    <w:pPr>
      <w:spacing w:line="560" w:lineRule="exact"/>
      <w:jc w:val="center"/>
    </w:pPr>
    <w:rPr>
      <w:rFonts w:ascii="宋体" w:hAnsi="宋体" w:cs="宋体"/>
      <w:sz w:val="32"/>
      <w:szCs w:val="32"/>
    </w:rPr>
  </w:style>
  <w:style w:type="paragraph" w:customStyle="1" w:styleId="af4">
    <w:name w:val="抬头"/>
    <w:basedOn w:val="ab"/>
    <w:qFormat/>
    <w:rsid w:val="007847E3"/>
    <w:pPr>
      <w:ind w:firstLineChars="0" w:firstLine="0"/>
      <w:jc w:val="left"/>
    </w:pPr>
  </w:style>
  <w:style w:type="paragraph" w:customStyle="1" w:styleId="af5">
    <w:name w:val="日期文号"/>
    <w:basedOn w:val="ab"/>
    <w:qFormat/>
    <w:rsid w:val="007847E3"/>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7847E3"/>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7847E3"/>
    <w:pPr>
      <w:spacing w:line="560" w:lineRule="exact"/>
      <w:jc w:val="center"/>
    </w:pPr>
    <w:rPr>
      <w:rFonts w:ascii="黑体" w:eastAsia="黑体" w:hAnsi="黑体" w:cs="黑体"/>
      <w:szCs w:val="21"/>
    </w:rPr>
  </w:style>
  <w:style w:type="character" w:customStyle="1" w:styleId="af7">
    <w:name w:val="条文"/>
    <w:basedOn w:val="a0"/>
    <w:qFormat/>
    <w:rsid w:val="007847E3"/>
    <w:rPr>
      <w:rFonts w:ascii="黑体" w:eastAsia="黑体" w:hAnsi="黑体" w:cs="黑体"/>
      <w:sz w:val="32"/>
      <w:szCs w:val="32"/>
    </w:rPr>
  </w:style>
  <w:style w:type="paragraph" w:styleId="af8">
    <w:name w:val="Normal (Web)"/>
    <w:basedOn w:val="a"/>
    <w:uiPriority w:val="99"/>
    <w:unhideWhenUsed/>
    <w:rsid w:val="0048166A"/>
    <w:pPr>
      <w:widowControl/>
      <w:spacing w:before="100" w:beforeAutospacing="1" w:after="100" w:afterAutospacing="1"/>
      <w:jc w:val="left"/>
    </w:pPr>
    <w:rPr>
      <w:rFonts w:ascii="宋体" w:hAnsi="宋体" w:cs="宋体"/>
      <w:kern w:val="0"/>
      <w:sz w:val="24"/>
    </w:rPr>
  </w:style>
  <w:style w:type="character" w:styleId="af9">
    <w:name w:val="Strong"/>
    <w:basedOn w:val="a0"/>
    <w:uiPriority w:val="22"/>
    <w:qFormat/>
    <w:rsid w:val="0048166A"/>
    <w:rPr>
      <w:b/>
      <w:bCs/>
    </w:rPr>
  </w:style>
</w:styles>
</file>

<file path=word/webSettings.xml><?xml version="1.0" encoding="utf-8"?>
<w:webSettings xmlns:r="http://schemas.openxmlformats.org/officeDocument/2006/relationships" xmlns:w="http://schemas.openxmlformats.org/wordprocessingml/2006/main">
  <w:divs>
    <w:div w:id="1190337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TotalTime>
  <Pages>1</Pages>
  <Words>1893</Words>
  <Characters>107</Characters>
  <Application>Microsoft Office Word</Application>
  <DocSecurity>0</DocSecurity>
  <Lines>1</Lines>
  <Paragraphs>3</Paragraphs>
  <ScaleCrop>false</ScaleCrop>
  <Company>Newdaxie</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5</cp:revision>
  <dcterms:created xsi:type="dcterms:W3CDTF">2017-11-02T12:40:00Z</dcterms:created>
  <dcterms:modified xsi:type="dcterms:W3CDTF">2024-11-15T13:18:00Z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